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9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681" w:firstLineChars="600"/>
        <w:jc w:val="both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highlight w:val="none"/>
          <w:lang w:val="en-US" w:eastAsia="zh-CN"/>
        </w:rPr>
        <w:t>程序化交易申请申报流程关键事项</w:t>
      </w:r>
    </w:p>
    <w:p w14:paraId="79B0D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4736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一、选择【宽帮量化交易系统】</w:t>
      </w:r>
    </w:p>
    <w:p w14:paraId="5759A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438400" cy="147383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E8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</w:rPr>
      </w:pPr>
    </w:p>
    <w:p w14:paraId="4BF651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填写电脑Mac地址</w:t>
      </w:r>
    </w:p>
    <w:p w14:paraId="54C5D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微软雅黑" w:hAnsi="微软雅黑" w:eastAsia="微软雅黑" w:cs="微软雅黑"/>
          <w:b w:val="0"/>
          <w:bCs w:val="0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提示：</w:t>
      </w:r>
      <w:r>
        <w:rPr>
          <w:rFonts w:hint="eastAsia" w:ascii="微软雅黑" w:hAnsi="微软雅黑" w:eastAsia="微软雅黑" w:cs="微软雅黑"/>
          <w:b w:val="0"/>
          <w:bCs w:val="0"/>
          <w:color w:val="C00000"/>
          <w:lang w:val="en-US" w:eastAsia="zh-CN"/>
        </w:rPr>
        <w:t>只有报备了Mac地址的电脑才能正常使用</w:t>
      </w:r>
      <w:r>
        <w:rPr>
          <w:rFonts w:hint="default" w:ascii="微软雅黑" w:hAnsi="微软雅黑" w:eastAsia="微软雅黑" w:cs="微软雅黑"/>
          <w:b w:val="0"/>
          <w:bCs w:val="0"/>
          <w:color w:val="C00000"/>
          <w:lang w:eastAsia="zh-CN"/>
        </w:rPr>
        <w:t>实盘</w:t>
      </w:r>
      <w:r>
        <w:rPr>
          <w:rFonts w:hint="eastAsia" w:ascii="微软雅黑" w:hAnsi="微软雅黑" w:eastAsia="微软雅黑" w:cs="微软雅黑"/>
          <w:b w:val="0"/>
          <w:bCs w:val="0"/>
          <w:color w:val="C00000"/>
          <w:lang w:val="en-US" w:eastAsia="zh-CN"/>
        </w:rPr>
        <w:t>终端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，可</w:t>
      </w:r>
      <w:r>
        <w:rPr>
          <w:rFonts w:hint="default" w:ascii="微软雅黑" w:hAnsi="微软雅黑" w:eastAsia="微软雅黑" w:cs="微软雅黑"/>
          <w:b w:val="0"/>
          <w:bCs w:val="0"/>
          <w:color w:val="C00000"/>
          <w:lang w:eastAsia="zh-CN"/>
        </w:rPr>
        <w:t>最多</w:t>
      </w:r>
      <w:r>
        <w:rPr>
          <w:rFonts w:hint="eastAsia" w:ascii="微软雅黑" w:hAnsi="微软雅黑" w:eastAsia="微软雅黑" w:cs="微软雅黑"/>
          <w:b w:val="0"/>
          <w:bCs w:val="0"/>
          <w:color w:val="C00000"/>
          <w:lang w:val="en-US" w:eastAsia="zh-CN"/>
        </w:rPr>
        <w:t>报备</w:t>
      </w:r>
      <w:r>
        <w:rPr>
          <w:rFonts w:hint="default" w:ascii="微软雅黑" w:hAnsi="微软雅黑" w:eastAsia="微软雅黑" w:cs="微软雅黑"/>
          <w:b w:val="0"/>
          <w:bCs w:val="0"/>
          <w:color w:val="C00000"/>
          <w:lang w:eastAsia="zh-CN"/>
        </w:rPr>
        <w:t>3个Mac</w:t>
      </w:r>
      <w:r>
        <w:rPr>
          <w:rFonts w:hint="default" w:ascii="微软雅黑" w:hAnsi="微软雅黑" w:eastAsia="微软雅黑" w:cs="微软雅黑"/>
          <w:b w:val="0"/>
          <w:bCs w:val="0"/>
          <w:lang w:eastAsia="zh-CN"/>
        </w:rPr>
        <w:t>地址</w:t>
      </w:r>
    </w:p>
    <w:p w14:paraId="0E8533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273040" cy="1713865"/>
            <wp:effectExtent l="0" t="0" r="3810" b="635"/>
            <wp:docPr id="2" name="图片 2" descr="b71a9a10bf932e654f1b06a8c4655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71a9a10bf932e654f1b06a8c4655e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47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2FB1ED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交易信息填报</w:t>
      </w:r>
    </w:p>
    <w:p w14:paraId="27DFB1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交易品种选择：股票、基金</w:t>
      </w:r>
    </w:p>
    <w:p w14:paraId="2A146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是否量化交易：  选择“是”</w:t>
      </w:r>
    </w:p>
    <w:p w14:paraId="01FBE8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填写策略类型（</w:t>
      </w:r>
      <w:r>
        <w:rPr>
          <w:rFonts w:hint="eastAsia" w:ascii="微软雅黑" w:hAnsi="微软雅黑" w:eastAsia="微软雅黑" w:cs="微软雅黑"/>
          <w:color w:val="C00000"/>
          <w:lang w:val="en-US" w:eastAsia="zh-CN"/>
        </w:rPr>
        <w:t>示例仅供参考，您可按照自己策略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C00000"/>
          <w:lang w:val="en-US" w:eastAsia="zh-CN"/>
        </w:rPr>
        <w:t>填写</w:t>
      </w:r>
      <w:r>
        <w:rPr>
          <w:rFonts w:hint="eastAsia" w:ascii="微软雅黑" w:hAnsi="微软雅黑" w:eastAsia="微软雅黑" w:cs="微软雅黑"/>
          <w:lang w:val="en-US" w:eastAsia="zh-CN"/>
        </w:rPr>
        <w:t>）</w:t>
      </w:r>
    </w:p>
    <w:p w14:paraId="6DF06A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主策略类型：</w:t>
      </w:r>
      <w:r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  <w:t>量化多头策略</w:t>
      </w:r>
    </w:p>
    <w:p w14:paraId="78F43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描述：</w:t>
      </w:r>
      <w:r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  <w:t>从价值、质量、成长、动量、波动率、流动性等维度挖掘因子，借助多因子模型对个股进行综合打分，量化评估标的预期收益，构建分散化投资组合。</w:t>
      </w:r>
    </w:p>
    <w:p w14:paraId="21D7EC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</w:pPr>
    </w:p>
    <w:p w14:paraId="2F83E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微软雅黑" w:hAnsi="微软雅黑" w:eastAsia="微软雅黑" w:cs="微软雅黑"/>
          <w:color w:val="2E54A1" w:themeColor="accent1" w:themeShade="BF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辅策略类型：</w:t>
      </w:r>
      <w:r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  <w:t>其他策略</w:t>
      </w:r>
      <w:r>
        <w:rPr>
          <w:rFonts w:hint="default" w:ascii="微软雅黑" w:hAnsi="微软雅黑" w:eastAsia="微软雅黑" w:cs="微软雅黑"/>
          <w:color w:val="2E54A1" w:themeColor="accent1" w:themeShade="BF"/>
          <w:lang w:eastAsia="zh-CN"/>
        </w:rPr>
        <w:t>略</w:t>
      </w:r>
    </w:p>
    <w:p w14:paraId="02DEAB5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市值结合风格轮动策略：</w:t>
      </w:r>
      <w:r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  <w:t>筛选出小市值、非ST股等具有较高成长性和流动性的股票，按照MACD金叉死叉定期进行调仓换股。捕捉这些股票的成长机会和市场热点轮动</w:t>
      </w:r>
    </w:p>
    <w:p w14:paraId="1556AB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双均线趋势策略：</w:t>
      </w:r>
      <w:r>
        <w:rPr>
          <w:rFonts w:hint="eastAsia" w:ascii="微软雅黑" w:hAnsi="微软雅黑" w:eastAsia="微软雅黑" w:cs="微软雅黑"/>
          <w:color w:val="2E54A1" w:themeColor="accent1" w:themeShade="BF"/>
          <w:lang w:val="en-US" w:eastAsia="zh-CN"/>
        </w:rPr>
        <w:t>通过短期和长期均线的交叉来判断方向。使用5日均线和20日均线，5日均线上穿20日均线时买入，下穿时卖出，过滤ST和北交所，按照换手率和市值排序；</w:t>
      </w:r>
    </w:p>
    <w:p w14:paraId="456EF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3B430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是否执行展开类算法交易： 选择“否”</w:t>
      </w:r>
    </w:p>
    <w:p w14:paraId="16F69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914AA"/>
    <w:multiLevelType w:val="singleLevel"/>
    <w:tmpl w:val="A2D914A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F550981"/>
    <w:multiLevelType w:val="singleLevel"/>
    <w:tmpl w:val="7F5509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mOWY4OGU3MDRkMTU5MmJjNDM0MmMwYTA3ZmI0ZTcifQ=="/>
  </w:docVars>
  <w:rsids>
    <w:rsidRoot w:val="5CB138FA"/>
    <w:rsid w:val="04245E89"/>
    <w:rsid w:val="073408E5"/>
    <w:rsid w:val="14FC0436"/>
    <w:rsid w:val="2121278C"/>
    <w:rsid w:val="38E71205"/>
    <w:rsid w:val="695F06ED"/>
    <w:rsid w:val="74FF1E66"/>
    <w:rsid w:val="7D40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397</Characters>
  <Lines>0</Lines>
  <Paragraphs>0</Paragraphs>
  <TotalTime>25541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2024-10-16T06:20:00Z</dcterms:created>
  <dc:creator>ＨāｆīｄＳuη</dc:creator>
  <cp:lastModifiedBy>ＨāｆīｄＳuη</cp:lastModifiedBy>
  <dcterms:modified xsi:type="dcterms:W3CDTF">2026-08-18T06:36:20Z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96B7449350C24D5FB7F147FDAF0D7868_13</vt:lpwstr>
  </property>
  <property fmtid="{D5CDD505-2E9C-101B-9397-08002B2CF9AE}" pid="4" name="KSOTemplateDocerSaveRecord">
    <vt:lpwstr>eyJoZGlkIjoiNmJmOWY4OGU3MDRkMTU5MmJjNDM0MmMwYTA3ZmI0ZTciLCJ1c2VySWQiOiIzNTQ5NDYyOTAifQ==</vt:lpwstr>
  </property>
</Properties>
</file>